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pStyle w:val="MdHeading1"/>
      </w:pPr>
      <w:r>
        <w:t xml:space="preserve">IVF CPT Codes - SEO Brief</w:t>
      </w:r>
    </w:p>
    <w:p>
      <w:pPr>
        <w:pStyle w:val="MdParagraph"/>
      </w:pPr>
      <w:r>
        <w:rPr>
          <w:rStyle w:val="MdStrong"/>
          <w:b/>
          <w:bCs/>
        </w:rPr>
        <w:t xml:space="preserve">Target Audience:</w:t>
      </w:r>
      <w:r>
        <w:t xml:space="preserve"> IVF clinic owners, practice managers, billing administrators, and reproductive medicine specialists</w:t>
      </w:r>
      <w:r>
        <w:rPr>
          <w:rStyle w:val="MdBr"/>
        </w:rPr>
        <w:br/>
        <w:t xml:space="preserve"/>
      </w:r>
      <w:r>
        <w:rPr>
          <w:rStyle w:val="MdStrong"/>
          <w:b/>
          <w:bCs/>
        </w:rPr>
        <w:t xml:space="preserve">Content Type:</w:t>
      </w:r>
      <w:r>
        <w:t xml:space="preserve"> Educational guide / Reference article</w:t>
      </w:r>
      <w:r>
        <w:rPr>
          <w:rStyle w:val="MdBr"/>
        </w:rPr>
        <w:br/>
        <w:t xml:space="preserve"/>
      </w:r>
      <w:r>
        <w:rPr>
          <w:rStyle w:val="MdStrong"/>
          <w:b/>
          <w:bCs/>
        </w:rPr>
        <w:t xml:space="preserve">Brand:</w:t>
      </w:r>
      <w:r>
        <w:t xml:space="preserve"> Pabau</w:t>
      </w:r>
      <w:r>
        <w:rPr>
          <w:rStyle w:val="MdBr"/>
        </w:rPr>
        <w:br/>
        <w:t xml:space="preserve"/>
      </w:r>
      <w:r>
        <w:rPr>
          <w:rStyle w:val="MdStrong"/>
          <w:b/>
          <w:bCs/>
        </w:rPr>
        <w:t xml:space="preserve">Date:</w:t>
      </w:r>
      <w:r>
        <w:t xml:space="preserve"> 9th February 2026</w:t>
      </w:r>
    </w:p>
    <w:p>
      <w:pPr>
        <w:pStyle w:val="MdSpace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</w:pPr>
    </w:p>
    <w:p>
      <w:pPr>
        <w:pStyle w:val="Heading2"/>
        <w:pStyle w:val="MdHeading2"/>
      </w:pPr>
      <w:r>
        <w:t xml:space="preserve">1. Keyword Research</w:t>
      </w:r>
    </w:p>
    <w:p>
      <w:pPr>
        <w:pStyle w:val="Heading3"/>
        <w:pStyle w:val="MdHeading3"/>
      </w:pPr>
      <w:r>
        <w:t xml:space="preserve">Primary Keyword</w:t>
      </w:r>
    </w:p>
    <w:p>
      <w:pPr>
        <w:pStyle w:val="MdParagraph"/>
      </w:pPr>
      <w:r>
        <w:rPr>
          <w:rStyle w:val="MdStrong"/>
          <w:b/>
          <w:bCs/>
        </w:rPr>
        <w:t xml:space="preserve">"IVF CPT codes"</w:t>
      </w:r>
      <w:r>
        <w:t xml:space="preserve">  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Search volume: Medium-High (fertility niche)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Difficulty: Medium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Intent: Informational + Transactional (seeking reference + EMR solution)</w:t>
      </w:r>
    </w:p>
    <w:p>
      <w:pPr>
        <w:pStyle w:val="MdSpace"/>
      </w:pPr>
    </w:p>
    <w:p>
      <w:pPr>
        <w:pStyle w:val="Heading3"/>
        <w:pStyle w:val="MdHeading3"/>
      </w:pPr>
      <w:r>
        <w:t xml:space="preserve">Secondary Keywords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fertility clinic billing codes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reproductive medicine CPT codes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IVF procedure codes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embryo transfer CPT code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oocyte retrieval billing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assisted reproductive technology codes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IVF insurance billing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fertility clinic EMR software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reproductive medicine billing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IVF billing and coding</w:t>
      </w:r>
    </w:p>
    <w:p>
      <w:pPr>
        <w:pStyle w:val="MdSpace"/>
      </w:pPr>
    </w:p>
    <w:p>
      <w:pPr>
        <w:pStyle w:val="Heading3"/>
        <w:pStyle w:val="MdHeading3"/>
      </w:pPr>
      <w:r>
        <w:t xml:space="preserve">LSI Terms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follicle puncture, oocyte retrieval, embryo transfer, ICSI, cryopreservation, assisted hatching, sperm isolation, extended culture, insurance verification, prior authorisation, claims management, superbill, ART cycle, reproductive endocrinology</w:t>
      </w:r>
    </w:p>
    <w:p>
      <w:pPr>
        <w:pStyle w:val="MdSpace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</w:pPr>
    </w:p>
    <w:p>
      <w:pPr>
        <w:pStyle w:val="Heading2"/>
        <w:pStyle w:val="MdHeading2"/>
      </w:pPr>
      <w:r>
        <w:t xml:space="preserve">2. Search Intent Analysis</w:t>
      </w:r>
    </w:p>
    <w:p>
      <w:pPr>
        <w:pStyle w:val="MdParagraph"/>
      </w:pPr>
      <w:r>
        <w:rPr>
          <w:rStyle w:val="MdStrong"/>
          <w:b/>
          <w:bCs/>
        </w:rPr>
        <w:t xml:space="preserve">Primary Intent:</w:t>
      </w:r>
      <w:r>
        <w:t xml:space="preserve"> Informational (80%) + Transactional (20%)</w:t>
      </w:r>
    </w:p>
    <w:p>
      <w:pPr>
        <w:pStyle w:val="MdSpace"/>
      </w:pPr>
    </w:p>
    <w:p>
      <w:pPr>
        <w:pStyle w:val="MdParagraph"/>
      </w:pPr>
      <w:r>
        <w:t xml:space="preserve">Users searching for "IVF CPT codes" are typically: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Billing staff</w:t>
      </w:r>
      <w:r>
        <w:t xml:space="preserve"> at fertility clinics looking for accurate codes for claim submission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Practice managers</w:t>
      </w:r>
      <w:r>
        <w:t xml:space="preserve"> setting up billing workflows or training new staff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Clinic owners</w:t>
      </w:r>
      <w:r>
        <w:t xml:space="preserve"> evaluating EMR/billing software capabilities</w:t>
      </w:r>
    </w:p>
    <w:p>
      <w:pPr>
        <w:pStyle w:val="MdListItem"/>
        <w:numPr>
          <w:ilvl w:val="0"/>
          <w:numId w:val="2"/>
        </w:numPr>
      </w:pPr>
      <w:r>
        <w:rPr>
          <w:rStyle w:val="MdStrong"/>
          <w:b/>
          <w:bCs/>
        </w:rPr>
        <w:t xml:space="preserve">Reproductive endocrinologists</w:t>
      </w:r>
      <w:r>
        <w:t xml:space="preserve"> understanding coding for new procedures</w:t>
      </w:r>
    </w:p>
    <w:p>
      <w:pPr>
        <w:pStyle w:val="MdSpace"/>
      </w:pPr>
    </w:p>
    <w:p>
      <w:pPr>
        <w:pStyle w:val="MdParagraph"/>
      </w:pPr>
      <w:r>
        <w:rPr>
          <w:rStyle w:val="MdStrong"/>
          <w:b/>
          <w:bCs/>
        </w:rPr>
        <w:t xml:space="preserve">User Goals: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Find comprehensive list of IVF-specific CPT codes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Understand proper code usage and billing rules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Learn about insurance verification and preauthorisation requirements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Identify software solutions that streamline IVF billing</w:t>
      </w:r>
    </w:p>
    <w:p>
      <w:pPr>
        <w:pStyle w:val="MdSpace"/>
      </w:pPr>
    </w:p>
    <w:p>
      <w:pPr>
        <w:pStyle w:val="MdParagraph"/>
      </w:pPr>
      <w:r>
        <w:rPr>
          <w:rStyle w:val="MdStrong"/>
          <w:b/>
          <w:bCs/>
        </w:rPr>
        <w:t xml:space="preserve">Content Angle:</w:t>
      </w:r>
      <w:r>
        <w:rPr>
          <w:rStyle w:val="MdBr"/>
        </w:rPr>
        <w:br/>
        <w:t xml:space="preserve"/>
      </w:r>
      <w:r>
        <w:t xml:space="preserve">Clinic-focused educational guide that positions Pabau as the fertility clinic management solution. Angle towards operational efficiency: "Master IVF billing with the right codes and the right software."</w:t>
      </w:r>
    </w:p>
    <w:p>
      <w:pPr>
        <w:pStyle w:val="MdSpace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</w:pPr>
    </w:p>
    <w:p>
      <w:pPr>
        <w:pStyle w:val="Heading2"/>
        <w:pStyle w:val="MdHeading2"/>
      </w:pPr>
      <w:r>
        <w:t xml:space="preserve">3. Competitor Research &amp; Content Gap Analysis</w:t>
      </w:r>
    </w:p>
    <w:p>
      <w:pPr>
        <w:pStyle w:val="Heading3"/>
        <w:pStyle w:val="MdHeading3"/>
      </w:pPr>
      <w:r>
        <w:t xml:space="preserve">Competitor Blog Inspiration</w:t>
      </w:r>
    </w:p>
    <w:tbl>
      <w:tblPr>
        <w:tblStyle w:val="MdTable"/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2500"/>
        <w:gridCol w:w="2500"/>
      </w:tblGrid>
      <w:tr>
        <w:trPr>
          <w:cantSplit/>
          <w:tblHeader/>
        </w:trPr>
        <w:tc>
          <w:tcPr>
            <w:shd w:fill="F2F2F2"/>
            <w:vAlign w:val="center"/>
          </w:tcPr>
          <w:p>
            <w:pPr>
              <w:pStyle w:val="MdTableHeader"/>
            </w:pPr>
            <w:r>
              <w:t xml:space="preserve">Source</w:t>
            </w:r>
          </w:p>
        </w:tc>
        <w:tc>
          <w:tcPr>
            <w:shd w:fill="F2F2F2"/>
            <w:vAlign w:val="center"/>
          </w:tcPr>
          <w:p>
            <w:pPr>
              <w:pStyle w:val="MdTableHeader"/>
            </w:pPr>
            <w:r>
              <w:t xml:space="preserve">URL</w:t>
            </w:r>
          </w:p>
        </w:tc>
        <w:tc>
          <w:tcPr>
            <w:shd w:fill="F2F2F2"/>
            <w:vAlign w:val="center"/>
          </w:tcPr>
          <w:p>
            <w:pPr>
              <w:pStyle w:val="MdTableHeader"/>
            </w:pPr>
            <w:r>
              <w:t xml:space="preserve">Strengths</w:t>
            </w:r>
          </w:p>
        </w:tc>
        <w:tc>
          <w:tcPr>
            <w:shd w:fill="F2F2F2"/>
            <w:vAlign w:val="center"/>
          </w:tcPr>
          <w:p>
            <w:pPr>
              <w:pStyle w:val="MdTableHeader"/>
            </w:pPr>
            <w:r>
              <w:t xml:space="preserve">Gaps</w:t>
            </w:r>
          </w:p>
        </w:tc>
      </w:tr>
      <w:tr>
        <w:trPr>
          <w:cantSplit/>
        </w:trPr>
        <w:tc>
          <w:tcPr>
            <w:vAlign w:val="center"/>
          </w:tcPr>
          <w:p>
            <w:pPr>
              <w:pStyle w:val="MdTableCell"/>
            </w:pPr>
            <w:r>
              <w:t xml:space="preserve">Outsource Strategies</w:t>
            </w:r>
          </w:p>
        </w:tc>
        <w:tc>
          <w:tcPr>
            <w:vAlign w:val="center"/>
          </w:tcPr>
          <w:p>
            <w:pPr>
              <w:pStyle w:val="MdTableCell"/>
            </w:pPr>
            <w:r>
              <w:t xml:space="preserve">outsourcestrategies.com/blog/billing-and-coding-in-vitro-fertilization-treatment/</w:t>
            </w:r>
          </w:p>
        </w:tc>
        <w:tc>
          <w:tcPr>
            <w:vAlign w:val="center"/>
          </w:tcPr>
          <w:p>
            <w:pPr>
              <w:pStyle w:val="MdTableCell"/>
            </w:pPr>
            <w:r>
              <w:t xml:space="preserve">Comprehensive code tables (CPT, ICD-10, HCPCS), insurance verification steps, preauthorisation process</w:t>
            </w:r>
          </w:p>
        </w:tc>
        <w:tc>
          <w:tcPr>
            <w:vAlign w:val="center"/>
          </w:tcPr>
          <w:p>
            <w:pPr>
              <w:pStyle w:val="MdTableCell"/>
            </w:pPr>
            <w:r>
              <w:t xml:space="preserve">No software solution CTA, lacks clinic management perspective, no visual assets</w:t>
            </w:r>
          </w:p>
        </w:tc>
      </w:tr>
      <w:tr>
        <w:trPr>
          <w:cantSplit/>
        </w:trPr>
        <w:tc>
          <w:tcPr>
            <w:vAlign w:val="center"/>
          </w:tcPr>
          <w:p>
            <w:pPr>
              <w:pStyle w:val="MdTableCell"/>
            </w:pPr>
            <w:r>
              <w:t xml:space="preserve">Cloud RCM Solutions</w:t>
            </w:r>
          </w:p>
        </w:tc>
        <w:tc>
          <w:tcPr>
            <w:vAlign w:val="center"/>
          </w:tcPr>
          <w:p>
            <w:pPr>
              <w:pStyle w:val="MdTableCell"/>
            </w:pPr>
            <w:r>
              <w:t xml:space="preserve">cloudrcmsolutions.com/ivf-billing-and-coding-solutions/</w:t>
            </w:r>
          </w:p>
        </w:tc>
        <w:tc>
          <w:tcPr>
            <w:vAlign w:val="center"/>
          </w:tcPr>
          <w:p>
            <w:pPr>
              <w:pStyle w:val="MdTableCell"/>
            </w:pPr>
            <w:r>
              <w:t xml:space="preserve">Modifiers section, common billing mistakes, state-specific regulations, patient communication tips</w:t>
            </w:r>
          </w:p>
        </w:tc>
        <w:tc>
          <w:tcPr>
            <w:vAlign w:val="center"/>
          </w:tcPr>
          <w:p>
            <w:pPr>
              <w:pStyle w:val="MdTableCell"/>
            </w:pPr>
            <w:r>
              <w:t xml:space="preserve">Limited code reference (only 6 codes), no downloadable worksheet, weak actionable guidance</w:t>
            </w:r>
          </w:p>
        </w:tc>
      </w:tr>
      <w:tr>
        <w:trPr>
          <w:cantSplit/>
        </w:trPr>
        <w:tc>
          <w:tcPr>
            <w:vAlign w:val="center"/>
          </w:tcPr>
          <w:p>
            <w:pPr>
              <w:pStyle w:val="MdTableCell"/>
            </w:pPr>
            <w:r>
              <w:t xml:space="preserve">ASRM (Authority)</w:t>
            </w:r>
          </w:p>
        </w:tc>
        <w:tc>
          <w:tcPr>
            <w:vAlign w:val="center"/>
          </w:tcPr>
          <w:p>
            <w:pPr>
              <w:pStyle w:val="MdTableCell"/>
            </w:pPr>
            <w:r>
              <w:t xml:space="preserve">asrm.org/practice-guidance/coding-resources/coding/coding-committee-documents/art-cycle-coding/</w:t>
            </w:r>
          </w:p>
        </w:tc>
        <w:tc>
          <w:tcPr>
            <w:vAlign w:val="center"/>
          </w:tcPr>
          <w:p>
            <w:pPr>
              <w:pStyle w:val="MdTableCell"/>
            </w:pPr>
            <w:r>
              <w:t xml:space="preserve">Authoritative source, detailed laboratory procedure coding, official AMA guidelines</w:t>
            </w:r>
          </w:p>
        </w:tc>
        <w:tc>
          <w:tcPr>
            <w:vAlign w:val="center"/>
          </w:tcPr>
          <w:p>
            <w:pPr>
              <w:pStyle w:val="MdTableCell"/>
            </w:pPr>
            <w:r>
              <w:t xml:space="preserve">Too technical, lacks practical clinic workflow, not optimised for search</w:t>
            </w:r>
          </w:p>
        </w:tc>
      </w:tr>
    </w:tbl>
    <w:p>
      <w:pPr>
        <w:pStyle w:val="Heading3"/>
        <w:pStyle w:val="MdHeading3"/>
      </w:pPr>
      <w:r>
        <w:t xml:space="preserve">Content Differentiation Strategy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Comprehensive code reference</w:t>
      </w:r>
      <w:r>
        <w:t xml:space="preserve">: Top 25 IVF CPT codes in downloadable PDF worksheet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Clinic operations focus</w:t>
      </w:r>
      <w:r>
        <w:t xml:space="preserve">: Integration with EMR, claims management, workflow efficiency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Visual data</w:t>
      </w:r>
      <w:r>
        <w:t xml:space="preserve">: Cost chart showing average IVF procedure pricing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Practical guidance</w:t>
      </w:r>
      <w:r>
        <w:t xml:space="preserve">: Billing tips, common errors, insurance verification checklist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Software solution</w:t>
      </w:r>
      <w:r>
        <w:t xml:space="preserve">: Natural transition to Pabau's claims management and EMR features</w:t>
      </w:r>
    </w:p>
    <w:p>
      <w:pPr>
        <w:pStyle w:val="MdSpace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</w:pPr>
    </w:p>
    <w:p>
      <w:pPr>
        <w:pStyle w:val="Heading2"/>
        <w:pStyle w:val="MdHeading2"/>
      </w:pPr>
      <w:r>
        <w:t xml:space="preserve">4. Content Outline</w:t>
      </w:r>
    </w:p>
    <w:p>
      <w:pPr>
        <w:pStyle w:val="Heading3"/>
        <w:pStyle w:val="MdHeading3"/>
      </w:pPr>
      <w:r>
        <w:t xml:space="preserve">H1: IVF CPT Codes: The Complete Guide for Fertility Clinics</w:t>
      </w:r>
    </w:p>
    <w:p>
      <w:pPr>
        <w:pStyle w:val="MdParagraph"/>
      </w:pPr>
      <w:r>
        <w:rPr>
          <w:rStyle w:val="MdStrong"/>
          <w:b/>
          <w:bCs/>
        </w:rPr>
        <w:t xml:space="preserve">Word count:</w:t>
      </w:r>
      <w:r>
        <w:t xml:space="preserve"> 2,200-2,500 total</w:t>
      </w:r>
    </w:p>
    <w:p>
      <w:pPr>
        <w:pStyle w:val="MdSpace"/>
      </w:pPr>
    </w:p>
    <w:p>
      <w:pPr>
        <w:pStyle w:val="Heading4"/>
        <w:pStyle w:val="MdHeading4"/>
      </w:pPr>
      <w:r>
        <w:t xml:space="preserve">Introduction (150-200 words)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Hook: IVF billing complexity (multiple procedures, high costs, insurance variability)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Why accurate coding matters: Claim approval, revenue cycle, patient trust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What this guide covers: CPT codes, billing tips, software integration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Primary keyword in first 100 words</w:t>
      </w:r>
    </w:p>
    <w:p>
      <w:pPr>
        <w:pStyle w:val="MdSpace"/>
      </w:pPr>
    </w:p>
    <w:p>
      <w:pPr>
        <w:pStyle w:val="Heading4"/>
        <w:pStyle w:val="MdHeading4"/>
      </w:pPr>
      <w:r>
        <w:t xml:space="preserve">H2: What Are CPT Codes in IVF? (200-250 words)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Definition of CPT codes (AMA, Current Procedural Terminology)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Why IVF has unique coding requirements (multi-step ART cycle)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Role in insurance billing and superbills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ICD-10 vs CPT distinction (diagnosis vs procedure)</w:t>
      </w:r>
    </w:p>
    <w:p>
      <w:pPr>
        <w:pStyle w:val="MdSpace"/>
      </w:pPr>
    </w:p>
    <w:p>
      <w:pPr>
        <w:pStyle w:val="Heading4"/>
        <w:pStyle w:val="MdHeading4"/>
      </w:pPr>
      <w:r>
        <w:t xml:space="preserve">H2: Understanding the IVF Treatment Cycle and Related Codes (250-300 words)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Overview of a complete IVF cycle (stimulation → retrieval → fertilisation → transfer)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How each step maps to specific CPT codes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Laboratory vs physician practice billing (who bills what)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Timeframes and bundled vs unbundled billing</w:t>
      </w:r>
    </w:p>
    <w:p>
      <w:pPr>
        <w:pStyle w:val="MdSpace"/>
      </w:pPr>
    </w:p>
    <w:p>
      <w:pPr>
        <w:pStyle w:val="Heading4"/>
        <w:pStyle w:val="MdHeading4"/>
      </w:pPr>
      <w:r>
        <w:t xml:space="preserve">H2: Top 25 IVF CPT Codes Every Fertility Clinic Should Know (400-450 words)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Surgical Procedures: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58970 (Follicle puncture for oocyte retrieval)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58974 (Embryo transfer, intrauterine)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58976 (Gamete/zygote/embryo intrafallopian transfer)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Laboratory Procedures: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89250-89251 (Culture of oocytes/embryos)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89253 (Assisted embryo hatching)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89254 (Oocyte identification from follicular fluid)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89255 (Preparation of embryo for transfer)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89257 (Sperm identification from aspiration)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89258-89259 (Cryopreservation of embryos/sperm)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89260-89261 (Sperm isolation, simple vs complex prep)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89264 (Sperm identification from testis tissue)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89268 (Insemination of oocytes)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89272 (Extended culture 4-7 days)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89280-89281 (Assisted oocyte fertilisation/ICSI)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89290 (Embryo biopsy)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Diagnostic Procedures: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89320-89322 (Semen analysis variants)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76948 (Ultrasonic guidance for aspiration of ova)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76856-76857 (Pelvic ultrasound)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Include brief description and typical use case for each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Reference downloadable worksheet PDF</w:t>
      </w:r>
    </w:p>
    <w:p>
      <w:pPr>
        <w:pStyle w:val="MdSpace"/>
      </w:pPr>
    </w:p>
    <w:p>
      <w:pPr>
        <w:pStyle w:val="Heading4"/>
        <w:pStyle w:val="MdHeading4"/>
      </w:pPr>
      <w:r>
        <w:t xml:space="preserve">H2: HCPCS Codes for IVF (200-250 words)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What are HCPCS codes (S-codes for IVF)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When to use HCPCS vs CPT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Common HCPCS codes: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S4011, S4015 (Complete IVF cycle)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S4016 (Frozen IVF cycle)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S4017-S4018 (Incomplete/cancelled cycles)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S4020-S4021 (IVF cancelled before/after aspiration)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S4022 (Assisted oocyte fertilisation)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S4023, S4025 (Donor services)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S4037 (Cryopreserved embryo transfer)</w:t>
      </w:r>
    </w:p>
    <w:p>
      <w:pPr>
        <w:pStyle w:val="MdSpace"/>
      </w:pPr>
    </w:p>
    <w:p>
      <w:pPr>
        <w:pStyle w:val="Heading4"/>
        <w:pStyle w:val="MdHeading4"/>
      </w:pPr>
      <w:r>
        <w:t xml:space="preserve">H2: CPT Code Modifiers in IVF Billing (150-200 words)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What are modifiers and why they matter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Common IVF modifiers: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Modifier 26 (Professional component)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Modifier TC (Technical component)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Modifier 59 (Distinct procedural service)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Modifier 52 (Reduced services, e.g. mock embryo transfer)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Examples of proper modifier use</w:t>
      </w:r>
    </w:p>
    <w:p>
      <w:pPr>
        <w:pStyle w:val="MdSpace"/>
      </w:pPr>
    </w:p>
    <w:p>
      <w:pPr>
        <w:pStyle w:val="Heading4"/>
        <w:pStyle w:val="MdHeading4"/>
      </w:pPr>
      <w:r>
        <w:t xml:space="preserve">H2: ICD-10 Diagnosis Codes for IVF (150-200 words)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Purpose of ICD-10 codes (medical necessity)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Primary IVF-related codes: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Z31.83 (Encounter for assisted reproductive fertility procedure cycle)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Z31.81 (Encounter for male factor infertility in female patient)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Z31.84 (Encounter for fertility preservation procedure)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O09.81x (Supervision of pregnancy resulting from ART)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Linking diagnosis to procedure codes</w:t>
      </w:r>
    </w:p>
    <w:p>
      <w:pPr>
        <w:pStyle w:val="MdSpace"/>
      </w:pPr>
    </w:p>
    <w:p>
      <w:pPr>
        <w:pStyle w:val="Heading4"/>
        <w:pStyle w:val="MdHeading4"/>
      </w:pPr>
      <w:r>
        <w:t xml:space="preserve">H2: IVF Insurance Verification and Prior Authorisation (250-300 words)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Why insurance verification is critical (coverage variability, state mandates)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What to verify: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Infertility benefits and exclusions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Medical criteria requirements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Treatment hierarchy (IUI before IVF requirements)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Cycle limits (dollar or number)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Male infertility coverage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Lifetime maximums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Prior authorisation process: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Submission requirements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Timeframes (1-2 weeks typical)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Documentation needed (clinical records, treatment plan)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State-specific mandates (reference variability)</w:t>
      </w:r>
    </w:p>
    <w:p>
      <w:pPr>
        <w:pStyle w:val="MdSpace"/>
      </w:pPr>
    </w:p>
    <w:p>
      <w:pPr>
        <w:pStyle w:val="Heading4"/>
        <w:pStyle w:val="MdHeading4"/>
      </w:pPr>
      <w:r>
        <w:t xml:space="preserve">H2: Common IVF Billing Mistakes and How to Avoid Them (200-250 words)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Incorrect modifier usage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Missing or mismatched diagnosis codes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Failing to update claims for multi-step cycles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Inconsistent documentation between clinical notes and billing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Not verifying insurance before treatment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Coding errors on bundled services</w:t>
      </w:r>
    </w:p>
    <w:p>
      <w:pPr>
        <w:pStyle w:val="MdSpace"/>
      </w:pPr>
    </w:p>
    <w:p>
      <w:pPr>
        <w:pStyle w:val="Heading4"/>
        <w:pStyle w:val="MdHeading4"/>
      </w:pPr>
      <w:r>
        <w:t xml:space="preserve">H2: How Fertility Clinic Software Streamlines IVF Billing (200-250 words)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Benefits of integrated EMR + billing software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Key features to look for: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Automated CPT/ICD-10 code suggestions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Insurance verification tools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Claims management and tracking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Superbill generation</w:t>
      </w:r>
    </w:p>
    <w:p>
      <w:pPr>
        <w:pStyle w:val="ListParagraph"/>
        <w:pStyle w:val="MdListItem"/>
        <w:numPr>
          <w:ilvl w:val="1"/>
          <w:numId w:val="1"/>
        </w:numPr>
      </w:pPr>
      <w:r>
        <w:t xml:space="preserve">Reporting and analytics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Pabau's claims management capabilities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CTA: Link to Pabau claims management feature page</w:t>
      </w:r>
    </w:p>
    <w:p>
      <w:pPr>
        <w:pStyle w:val="MdSpace"/>
      </w:pPr>
    </w:p>
    <w:p>
      <w:pPr>
        <w:pStyle w:val="Heading4"/>
        <w:pStyle w:val="MdHeading4"/>
      </w:pPr>
      <w:r>
        <w:t xml:space="preserve">H2: Resources for IVF Coding and Billing (100-150 words)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American Society for Reproductive Medicine (ASRM) coding resources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AMA CPT code updates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CMS guidelines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State insurance mandates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Professional billing associations</w:t>
      </w:r>
    </w:p>
    <w:p>
      <w:pPr>
        <w:pStyle w:val="MdSpace"/>
      </w:pPr>
    </w:p>
    <w:p>
      <w:pPr>
        <w:pStyle w:val="Heading4"/>
        <w:pStyle w:val="MdHeading4"/>
      </w:pPr>
      <w:r>
        <w:t xml:space="preserve">H2: Frequently Asked Questions (300-350 words)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What is the CPT code for IVF oocyte retrieval?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How do I bill for a frozen embryo transfer?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What is the difference between CPT and HCPCS codes for IVF?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Do I need a modifier for ICSI procedures?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Does insurance cover all IVF services?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How long does IVF preauthorisation take?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What is the CPT code for ICSI (intracytoplasmic sperm injection)?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Can I bill for a cancelled IVF cycle?</w:t>
      </w:r>
    </w:p>
    <w:p>
      <w:pPr>
        <w:pStyle w:val="MdSpace"/>
      </w:pPr>
    </w:p>
    <w:p>
      <w:pPr>
        <w:pStyle w:val="Heading4"/>
        <w:pStyle w:val="MdHeading4"/>
      </w:pPr>
      <w:r>
        <w:t xml:space="preserve">Conclusion (100-150 words)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Recap: Accurate coding = faster reimbursement + better patient experience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Importance of staying updated with code changes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Software integration for efficiency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CTA: Download the IVF CPT codes worksheet / Explore Pabau's fertility clinic management solution</w:t>
      </w:r>
    </w:p>
    <w:p>
      <w:pPr>
        <w:pStyle w:val="MdSpace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</w:pPr>
    </w:p>
    <w:p>
      <w:pPr>
        <w:pStyle w:val="Heading2"/>
        <w:pStyle w:val="MdHeading2"/>
      </w:pPr>
      <w:r>
        <w:t xml:space="preserve">5. Visual Assets</w:t>
      </w:r>
    </w:p>
    <w:p>
      <w:pPr>
        <w:pStyle w:val="Heading3"/>
        <w:pStyle w:val="MdHeading3"/>
      </w:pPr>
      <w:r>
        <w:t xml:space="preserve">Included Worksheet (MANDATORY)</w:t>
      </w:r>
    </w:p>
    <w:p>
      <w:pPr>
        <w:pStyle w:val="MdParagraph"/>
      </w:pPr>
      <w:r>
        <w:rPr>
          <w:rStyle w:val="MdStrong"/>
          <w:b/>
          <w:bCs/>
        </w:rPr>
        <w:t xml:space="preserve">Download:</w:t>
      </w:r>
      <w:r>
        <w:t xml:space="preserve"> </w:t>
      </w:r>
      <w:hyperlink w:history="1" r:id="rIddpqj9r4ctqw5fkl8jgmcz">
        <w:r>
          <w:rPr>
            <w:rStyle w:val="MdLink"/>
          </w:rPr>
          <w:t xml:space="preserve">Top 25 IVF CPT Codes Worksheet</w:t>
        </w:r>
      </w:hyperlink>
      <w:r>
        <w:rPr>
          <w:rStyle w:val="MdBr"/>
        </w:rPr>
        <w:br/>
        <w:t xml:space="preserve"/>
      </w:r>
      <w:r>
        <w:rPr>
          <w:rStyle w:val="MdStrong"/>
          <w:b/>
          <w:bCs/>
        </w:rPr>
        <w:t xml:space="preserve">Format:</w:t>
      </w:r>
      <w:r>
        <w:t xml:space="preserve"> PDF, A4, Pabau-branded</w:t>
      </w:r>
      <w:r>
        <w:rPr>
          <w:rStyle w:val="MdBr"/>
        </w:rPr>
        <w:br/>
        <w:t xml:space="preserve"/>
      </w:r>
      <w:r>
        <w:rPr>
          <w:rStyle w:val="MdStrong"/>
          <w:b/>
          <w:bCs/>
        </w:rPr>
        <w:t xml:space="preserve">Contents:</w:t>
      </w:r>
      <w:r>
        <w:t xml:space="preserve"> 25 most common IVF CPT codes with descriptions</w:t>
      </w:r>
    </w:p>
    <w:p>
      <w:pPr>
        <w:pStyle w:val="MdSpace"/>
      </w:pPr>
    </w:p>
    <w:p>
      <w:pPr>
        <w:pStyle w:val="Heading3"/>
        <w:pStyle w:val="MdHeading3"/>
      </w:pPr>
      <w:r>
        <w:t xml:space="preserve">Branded Chart</w:t>
      </w:r>
    </w:p>
    <w:p>
      <w:pPr>
        <w:pStyle w:val="MdParagraph"/>
      </w:pPr>
      <w:r>
        <w:rPr>
          <w:rStyle w:val="MdStrong"/>
          <w:b/>
          <w:bCs/>
        </w:rPr>
        <w:t xml:space="preserve">Image:</w:t>
      </w:r>
      <w:r>
        <w:t xml:space="preserve"> </w:t>
      </w:r>
      <w:hyperlink w:history="1" r:id="rIdzwjfmkjkwzbxi7rzlgg4z">
        <w:r>
          <w:rPr>
            <w:rStyle w:val="MdLink"/>
          </w:rPr>
          <w:t xml:space="preserve">Average Cost of Common IVF Procedures</w:t>
        </w:r>
      </w:hyperlink>
      <w:r>
        <w:rPr>
          <w:rStyle w:val="MdBr"/>
        </w:rPr>
        <w:br/>
        <w:t xml:space="preserve"/>
      </w:r>
      <w:r>
        <w:rPr>
          <w:rStyle w:val="MdStrong"/>
          <w:b/>
          <w:bCs/>
        </w:rPr>
        <w:t xml:space="preserve">Chart Type:</w:t>
      </w:r>
      <w:r>
        <w:t xml:space="preserve"> Horizontal bar chart</w:t>
      </w:r>
      <w:r>
        <w:rPr>
          <w:rStyle w:val="MdBr"/>
        </w:rPr>
        <w:br/>
        <w:t xml:space="preserve"/>
      </w:r>
      <w:r>
        <w:rPr>
          <w:rStyle w:val="MdStrong"/>
          <w:b/>
          <w:bCs/>
        </w:rPr>
        <w:t xml:space="preserve">Data:</w:t>
      </w:r>
      <w:r>
        <w:t xml:space="preserve"> Typical pricing for 8 common IVF procedures (full cycle $15k, oocyte retrieval $4.5k, etc.)</w:t>
      </w:r>
      <w:r>
        <w:rPr>
          <w:rStyle w:val="MdBr"/>
        </w:rPr>
        <w:br/>
        <w:t xml:space="preserve"/>
      </w:r>
      <w:r>
        <w:rPr>
          <w:rStyle w:val="MdStrong"/>
          <w:b/>
          <w:bCs/>
        </w:rPr>
        <w:t xml:space="preserve">Purpose:</w:t>
      </w:r>
      <w:r>
        <w:t xml:space="preserve"> Help clinics understand billing value and set pricing</w:t>
      </w:r>
    </w:p>
    <w:p>
      <w:pPr>
        <w:pStyle w:val="MdSpace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</w:pPr>
    </w:p>
    <w:p>
      <w:pPr>
        <w:pStyle w:val="Heading2"/>
        <w:pStyle w:val="MdHeading2"/>
      </w:pPr>
      <w:r>
        <w:t xml:space="preserve">6. Internal Link Suggestions</w:t>
      </w:r>
    </w:p>
    <w:p>
      <w:pPr>
        <w:pStyle w:val="Heading3"/>
        <w:pStyle w:val="MdHeading3"/>
      </w:pPr>
      <w:r>
        <w:t xml:space="preserve">Mandatory Links (Compliance)</w:t>
      </w:r>
    </w:p>
    <w:p>
      <w:pPr>
        <w:pStyle w:val="ListParagraph"/>
        <w:pStyle w:val="MdListItem"/>
        <w:numPr>
          <w:ilvl w:val="0"/>
          <w:numId w:val="1"/>
        </w:numPr>
      </w:pPr>
      <w:hyperlink w:history="1" r:id="rIdj75_o5xgbjjcbn7fnku0c">
        <w:r>
          <w:rPr>
            <w:rStyle w:val="MdLink"/>
          </w:rPr>
          <w:t xml:space="preserve">HIPAA Compliance</w:t>
        </w:r>
      </w:hyperlink>
      <w:r>
        <w:t xml:space="preserve"> — when discussing patient data and insurance verification</w:t>
      </w:r>
    </w:p>
    <w:p>
      <w:pPr>
        <w:pStyle w:val="MdSpace"/>
      </w:pPr>
    </w:p>
    <w:p>
      <w:pPr>
        <w:pStyle w:val="Heading3"/>
        <w:pStyle w:val="MdHeading3"/>
      </w:pPr>
      <w:r>
        <w:t xml:space="preserve">Feature Pages (Primary CTAs)</w:t>
      </w:r>
    </w:p>
    <w:p>
      <w:pPr>
        <w:pStyle w:val="ListParagraph"/>
        <w:pStyle w:val="MdListItem"/>
        <w:numPr>
          <w:ilvl w:val="0"/>
          <w:numId w:val="1"/>
        </w:numPr>
      </w:pPr>
      <w:hyperlink w:history="1" r:id="rIdawpajkvhynxe_sl2ykzo-">
        <w:r>
          <w:rPr>
            <w:rStyle w:val="MdLink"/>
          </w:rPr>
          <w:t xml:space="preserve">Claims Management Software</w:t>
        </w:r>
      </w:hyperlink>
      <w:r>
        <w:t xml:space="preserve"> — main conversion link (2-3 mentions)</w:t>
      </w:r>
    </w:p>
    <w:p>
      <w:pPr>
        <w:pStyle w:val="ListParagraph"/>
        <w:pStyle w:val="MdListItem"/>
        <w:numPr>
          <w:ilvl w:val="0"/>
          <w:numId w:val="1"/>
        </w:numPr>
      </w:pPr>
      <w:hyperlink w:history="1" r:id="rIdhrmxpsllwsdg8oduqnapd">
        <w:r>
          <w:rPr>
            <w:rStyle w:val="MdLink"/>
          </w:rPr>
          <w:t xml:space="preserve">Fertility Clinic Software</w:t>
        </w:r>
      </w:hyperlink>
      <w:r>
        <w:t xml:space="preserve"> — industry-specific solution page</w:t>
      </w:r>
    </w:p>
    <w:p>
      <w:pPr>
        <w:pStyle w:val="ListParagraph"/>
        <w:pStyle w:val="MdListItem"/>
        <w:numPr>
          <w:ilvl w:val="0"/>
          <w:numId w:val="1"/>
        </w:numPr>
      </w:pPr>
      <w:hyperlink w:history="1" r:id="rIdhkvdcar4fned870k2kshg">
        <w:r>
          <w:rPr>
            <w:rStyle w:val="MdLink"/>
          </w:rPr>
          <w:t xml:space="preserve">Medical Records Software</w:t>
        </w:r>
      </w:hyperlink>
      <w:r>
        <w:t xml:space="preserve"> — EMR/documentation context</w:t>
      </w:r>
    </w:p>
    <w:p>
      <w:pPr>
        <w:pStyle w:val="MdSpace"/>
      </w:pPr>
    </w:p>
    <w:p>
      <w:pPr>
        <w:pStyle w:val="Heading3"/>
        <w:pStyle w:val="MdHeading3"/>
      </w:pPr>
      <w:r>
        <w:t xml:space="preserve">Relevant Blog Content (if available)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Any existing guides on fertility clinic management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Insurance billing guides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Practice management best practices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Reproductive health content</w:t>
      </w:r>
    </w:p>
    <w:p>
      <w:pPr>
        <w:pStyle w:val="MdSpace"/>
      </w:pPr>
    </w:p>
    <w:p>
      <w:pPr>
        <w:pStyle w:val="MdParagraph"/>
      </w:pPr>
      <w:r>
        <w:rPr>
          <w:rStyle w:val="MdStrong"/>
          <w:b/>
          <w:bCs/>
        </w:rPr>
        <w:t xml:space="preserve">Total internal links:</w:t>
      </w:r>
      <w:r>
        <w:t xml:space="preserve"> 6-8 (quality over quantity, natural placement)</w:t>
      </w:r>
    </w:p>
    <w:p>
      <w:pPr>
        <w:pStyle w:val="MdSpace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</w:pPr>
    </w:p>
    <w:p>
      <w:pPr>
        <w:pStyle w:val="Heading2"/>
        <w:pStyle w:val="MdHeading2"/>
      </w:pPr>
      <w:r>
        <w:t xml:space="preserve">7. External Authority Links</w:t>
      </w:r>
    </w:p>
    <w:p>
      <w:pPr>
        <w:pStyle w:val="MdParagraph"/>
      </w:pPr>
      <w:r>
        <w:t xml:space="preserve">Include 2-3 external links to authoritative sources: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American Society for Reproductive Medicine (ASRM) coding guidelines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AMA CPT code directory or resource page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CMS (Centers for Medicare &amp; Medicaid Services) fertility treatment guidelines</w:t>
      </w:r>
    </w:p>
    <w:p>
      <w:pPr>
        <w:pStyle w:val="MdSpace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</w:pPr>
    </w:p>
    <w:p>
      <w:pPr>
        <w:pStyle w:val="Heading2"/>
        <w:pStyle w:val="MdHeading2"/>
      </w:pPr>
      <w:r>
        <w:t xml:space="preserve">8. SEO On-Page Checklist</w:t>
      </w:r>
    </w:p>
    <w:p>
      <w:pPr>
        <w:pStyle w:val="Heading3"/>
        <w:pStyle w:val="MdHeading3"/>
      </w:pPr>
      <w:r>
        <w:t xml:space="preserve">Title &amp; Meta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Style w:val="MdStrong"/>
          <w:b/>
          <w:bCs/>
        </w:rPr>
        <w:t xml:space="preserve">Post Title:</w:t>
      </w:r>
      <w:r>
        <w:t xml:space="preserve"> "IVF CPT Codes: The Complete Guide for Fertility Clinics" (catchy, clinic-focused)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Style w:val="MdStrong"/>
          <w:b/>
          <w:bCs/>
        </w:rPr>
        <w:t xml:space="preserve">Meta Title:</w:t>
      </w:r>
      <w:r>
        <w:t xml:space="preserve"> "IVF CPT Codes: Complete Guide for Fertility Clinics" (56 chars)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Style w:val="MdStrong"/>
          <w:b/>
          <w:bCs/>
        </w:rPr>
        <w:t xml:space="preserve">Meta Description:</w:t>
      </w:r>
      <w:r>
        <w:t xml:space="preserve"> "Master IVF CPT codes with our complete guide. Includes top 25 codes, billing tips, insurance verification, and free downloadable worksheet for fertility clinics." (158 chars, exact keyword match)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Style w:val="MdStrong"/>
          <w:b/>
          <w:bCs/>
        </w:rPr>
        <w:t xml:space="preserve">Slug:</w:t>
      </w:r>
      <w:r>
        <w:t xml:space="preserve"> </w:t>
      </w:r>
      <w:r>
        <w:rPr>
          <w:rStyle w:val="MdCode"/>
          <w:u w:val="single"/>
        </w:rPr>
        <w:t xml:space="preserve">ivf-cpt-codes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Style w:val="MdStrong"/>
          <w:b/>
          <w:bCs/>
        </w:rPr>
        <w:t xml:space="preserve">Exact keyword phrase</w:t>
      </w:r>
      <w:r>
        <w:t xml:space="preserve"> "IVF CPT codes" in:</w:t>
      </w:r>
    </w:p>
    <w:p>
      <w:pPr>
        <w:pStyle w:val="ListParagraph"/>
        <w:pStyle w:val="MdListItem"/>
        <w:numPr>
          <w:ilvl w:val="1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Meta title</w:t>
      </w:r>
    </w:p>
    <w:p>
      <w:pPr>
        <w:pStyle w:val="ListParagraph"/>
        <w:pStyle w:val="MdListItem"/>
        <w:numPr>
          <w:ilvl w:val="1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Meta description</w:t>
      </w:r>
    </w:p>
    <w:p>
      <w:pPr>
        <w:pStyle w:val="ListParagraph"/>
        <w:pStyle w:val="MdListItem"/>
        <w:numPr>
          <w:ilvl w:val="1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H1 (first 60 chars)</w:t>
      </w:r>
    </w:p>
    <w:p>
      <w:pPr>
        <w:pStyle w:val="ListParagraph"/>
        <w:pStyle w:val="MdListItem"/>
        <w:numPr>
          <w:ilvl w:val="1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First paragraph (within first 100 words)</w:t>
      </w:r>
    </w:p>
    <w:p>
      <w:pPr>
        <w:pStyle w:val="ListParagraph"/>
        <w:pStyle w:val="MdListItem"/>
        <w:numPr>
          <w:ilvl w:val="1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At least 2-3 H2 subheadings</w:t>
      </w:r>
    </w:p>
    <w:p>
      <w:pPr>
        <w:pStyle w:val="ListParagraph"/>
        <w:pStyle w:val="MdListItem"/>
        <w:numPr>
          <w:ilvl w:val="1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Throughout body (natural density, 1-2%)</w:t>
      </w:r>
    </w:p>
    <w:p>
      <w:pPr>
        <w:pStyle w:val="ListParagraph"/>
        <w:pStyle w:val="MdListItem"/>
        <w:numPr>
          <w:ilvl w:val="1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Image alt text</w:t>
      </w:r>
    </w:p>
    <w:p>
      <w:pPr>
        <w:pStyle w:val="MdSpace"/>
      </w:pPr>
    </w:p>
    <w:p>
      <w:pPr>
        <w:pStyle w:val="Heading3"/>
        <w:pStyle w:val="MdHeading3"/>
      </w:pPr>
      <w:r>
        <w:t xml:space="preserve">Content Requirements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Word count: 2,200-2,500 words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H1: 1 (includes exact primary keyword)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H2: 10-12 subheadings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H3: Use for sub-sections within H2s where needed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Key Takeaways block (after intro, before first H2)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Pro Tips callout (2-3 throughout article)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Expert Pick callout (1-2, highlighting Pabau features)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FAQ section with schema markup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Internal links: 6-8, contextual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External links: 2-3 authority sources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Images: Featured image + chart + icons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rPr>
          <w:rStyle w:val="MdStrong"/>
          <w:b/>
          <w:bCs/>
        </w:rPr>
        <w:t xml:space="preserve">Download banner:</w:t>
      </w:r>
      <w:r>
        <w:t xml:space="preserve"> CPT code banner ABOVE Key Takeaways (use template from </w:t>
      </w:r>
      <w:r>
        <w:rPr>
          <w:rStyle w:val="MdCode"/>
          <w:u w:val="single"/>
        </w:rPr>
        <w:t xml:space="preserve">skills/seo-content-writer/references/cpt-download-banner.html</w:t>
      </w:r>
      <w:r>
        <w:t xml:space="preserve">)</w:t>
      </w:r>
    </w:p>
    <w:p>
      <w:pPr>
        <w:pStyle w:val="MdSpace"/>
      </w:pPr>
    </w:p>
    <w:p>
      <w:pPr>
        <w:pStyle w:val="Heading3"/>
        <w:pStyle w:val="MdHeading3"/>
      </w:pPr>
      <w:r>
        <w:t xml:space="preserve">Technical SEO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Focus keyphrase set in Yoast: "IVF CPT codes"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Related keyphrases: "fertility clinic billing codes", "IVF procedure codes", "reproductive medicine CPT codes"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Featured image optimised (alt text with keyword)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URL slug clean and keyword-rich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Schema markup: Article, FAQ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Mobile-friendly formatting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Readability: Flesch score 60+ (conversational but professional)</w:t>
      </w:r>
    </w:p>
    <w:p>
      <w:pPr>
        <w:pStyle w:val="MdSpace"/>
      </w:pPr>
    </w:p>
    <w:p>
      <w:pPr>
        <w:pStyle w:val="Heading3"/>
        <w:pStyle w:val="MdHeading3"/>
      </w:pPr>
      <w:r>
        <w:t xml:space="preserve">Formatting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British English spelling (fertilisation, authorisation, organisation)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No em dashes (use full stops, colons, commas, "rather than", parentheses)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Bullet points for lists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Tables for code comparisons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Bold for emphasis on key terms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Short paragraphs (2-4 sentences max)</w:t>
      </w:r>
    </w:p>
    <w:p>
      <w:pPr>
        <w:pStyle w:val="MdSpace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</w:pPr>
    </w:p>
    <w:p>
      <w:pPr>
        <w:pStyle w:val="Heading2"/>
        <w:pStyle w:val="MdHeading2"/>
      </w:pPr>
      <w:r>
        <w:t xml:space="preserve">9. Writer Notes</w:t>
      </w:r>
    </w:p>
    <w:p>
      <w:pPr>
        <w:pStyle w:val="Heading3"/>
        <w:pStyle w:val="MdHeading3"/>
      </w:pPr>
      <w:r>
        <w:t xml:space="preserve">Tone &amp; Style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Professional but approachable:</w:t>
      </w:r>
      <w:r>
        <w:t xml:space="preserve"> This is a reference guide for clinic staff, not a medical journal. Write clearly and actionably.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Clinic-focused:</w:t>
      </w:r>
      <w:r>
        <w:t xml:space="preserve"> Always angle towards IVF clinic operations, not patient-facing content. The reader is a practice manager or billing admin.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Authoritative:</w:t>
      </w:r>
      <w:r>
        <w:t xml:space="preserve"> Cite official sources (ASRM, AMA, CMS) where appropriate. This builds trust.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Solution-oriented:</w:t>
      </w:r>
      <w:r>
        <w:t xml:space="preserve"> Position Pabau as the natural solution for billing complexity. Don't oversell, but make the value clear.</w:t>
      </w:r>
    </w:p>
    <w:p>
      <w:pPr>
        <w:pStyle w:val="MdSpace"/>
      </w:pPr>
    </w:p>
    <w:p>
      <w:pPr>
        <w:pStyle w:val="Heading3"/>
        <w:pStyle w:val="MdHeading3"/>
      </w:pPr>
      <w:r>
        <w:t xml:space="preserve">Key Points to Emphasise</w:t>
      </w:r>
    </w:p>
    <w:p>
      <w:pPr>
        <w:pStyle w:val="MdListItem"/>
        <w:numPr>
          <w:ilvl w:val="0"/>
          <w:numId w:val="3"/>
        </w:numPr>
      </w:pPr>
      <w:r>
        <w:rPr>
          <w:rStyle w:val="MdStrong"/>
          <w:b/>
          <w:bCs/>
        </w:rPr>
        <w:t xml:space="preserve">Complexity of IVF billing:</w:t>
      </w:r>
      <w:r>
        <w:t xml:space="preserve"> Multiple procedures, high costs, insurance variability make accurate coding essential</w:t>
      </w:r>
    </w:p>
    <w:p>
      <w:pPr>
        <w:pStyle w:val="MdListItem"/>
        <w:numPr>
          <w:ilvl w:val="0"/>
          <w:numId w:val="3"/>
        </w:numPr>
      </w:pPr>
      <w:r>
        <w:rPr>
          <w:rStyle w:val="MdStrong"/>
          <w:b/>
          <w:bCs/>
        </w:rPr>
        <w:t xml:space="preserve">Financial impact:</w:t>
      </w:r>
      <w:r>
        <w:t xml:space="preserve"> Coding errors = claim denials = revenue loss + patient frustration</w:t>
      </w:r>
    </w:p>
    <w:p>
      <w:pPr>
        <w:pStyle w:val="MdListItem"/>
        <w:numPr>
          <w:ilvl w:val="0"/>
          <w:numId w:val="3"/>
        </w:numPr>
      </w:pPr>
      <w:r>
        <w:rPr>
          <w:rStyle w:val="MdStrong"/>
          <w:b/>
          <w:bCs/>
        </w:rPr>
        <w:t xml:space="preserve">Regulatory compliance:</w:t>
      </w:r>
      <w:r>
        <w:t xml:space="preserve"> Proper documentation and coding protect the clinic legally</w:t>
      </w:r>
    </w:p>
    <w:p>
      <w:pPr>
        <w:pStyle w:val="MdListItem"/>
        <w:numPr>
          <w:ilvl w:val="0"/>
          <w:numId w:val="3"/>
        </w:numPr>
      </w:pPr>
      <w:r>
        <w:rPr>
          <w:rStyle w:val="MdStrong"/>
          <w:b/>
          <w:bCs/>
        </w:rPr>
        <w:t xml:space="preserve">Software advantage:</w:t>
      </w:r>
      <w:r>
        <w:t xml:space="preserve"> Integrated EMR + billing = fewer errors, faster reimbursement, better reporting</w:t>
      </w:r>
    </w:p>
    <w:p>
      <w:pPr>
        <w:pStyle w:val="MdSpace"/>
      </w:pPr>
    </w:p>
    <w:p>
      <w:pPr>
        <w:pStyle w:val="Heading3"/>
        <w:pStyle w:val="MdHeading3"/>
      </w:pPr>
      <w:r>
        <w:t xml:space="preserve">Content Quality Standards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Accuracy:</w:t>
      </w:r>
      <w:r>
        <w:t xml:space="preserve"> All CPT codes must be current (as of 2025/2026). Cross-reference with AAPC or AMA if uncertain.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Practical utility:</w:t>
      </w:r>
      <w:r>
        <w:t xml:space="preserve"> Every section should answer "How does this help a fertility clinic?" Include actionable tips.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Visual clarity:</w:t>
      </w:r>
      <w:r>
        <w:t xml:space="preserve"> Use the worksheet and chart to break up text. Reference them in the body.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Conversational flow:</w:t>
      </w:r>
      <w:r>
        <w:t xml:space="preserve"> Avoid jargon where possible. Define terms when first used.</w:t>
      </w:r>
    </w:p>
    <w:p>
      <w:pPr>
        <w:pStyle w:val="MdSpace"/>
      </w:pPr>
    </w:p>
    <w:p>
      <w:pPr>
        <w:pStyle w:val="Heading3"/>
        <w:pStyle w:val="MdHeading3"/>
      </w:pPr>
      <w:r>
        <w:t xml:space="preserve">Pabau Integration Points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Claims management feature (primary CTA)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Insurance verification tools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Superbill generation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EMR documentation that feeds into billing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Reporting and analytics for billing performance</w:t>
      </w:r>
    </w:p>
    <w:p>
      <w:pPr>
        <w:pStyle w:val="MdSpace"/>
      </w:pPr>
    </w:p>
    <w:p>
      <w:pPr>
        <w:pStyle w:val="Heading3"/>
        <w:pStyle w:val="MdHeading3"/>
      </w:pPr>
      <w:r>
        <w:t xml:space="preserve">Research Sources Used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ASRM official coding guidance (asrm.org)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Outsource Strategies IVF billing blog (outsourcestrategies.com)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Cloud RCM Solutions IVF coding guide (cloudrcmsolutions.com)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AAPC CPT code directory (aapc.com)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Aetna infertility coding tool (PDF reference)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Reddit r/IVF community discussions on billing (user perspective)</w:t>
      </w:r>
    </w:p>
    <w:p>
      <w:pPr>
        <w:pStyle w:val="MdSpace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</w:pPr>
    </w:p>
    <w:p>
      <w:pPr>
        <w:pStyle w:val="Heading2"/>
        <w:pStyle w:val="MdHeading2"/>
      </w:pPr>
      <w:r>
        <w:t xml:space="preserve">10. WordPress Publishing Details</w:t>
      </w:r>
    </w:p>
    <w:p>
      <w:pPr>
        <w:pStyle w:val="Heading3"/>
        <w:pStyle w:val="MdHeading3"/>
      </w:pPr>
      <w:r>
        <w:t xml:space="preserve">Categories (All 3 Required)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Primary:</w:t>
      </w:r>
      <w:r>
        <w:t xml:space="preserve"> Guides (1099)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Sub-category:</w:t>
      </w:r>
      <w:r>
        <w:t xml:space="preserve"> Reproductive &amp; Sexual Health (1118)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Industry:</w:t>
      </w:r>
      <w:r>
        <w:t xml:space="preserve"> IVF &amp; Gynecology (1120)</w:t>
      </w:r>
    </w:p>
    <w:p>
      <w:pPr>
        <w:pStyle w:val="MdSpace"/>
      </w:pPr>
    </w:p>
    <w:p>
      <w:pPr>
        <w:pStyle w:val="Heading3"/>
        <w:pStyle w:val="MdHeading3"/>
      </w:pPr>
      <w:r>
        <w:t xml:space="preserve">Yoast Primary Category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IVF &amp; Gynecology (1120) — most specific category</w:t>
      </w:r>
    </w:p>
    <w:p>
      <w:pPr>
        <w:pStyle w:val="MdSpace"/>
      </w:pPr>
    </w:p>
    <w:p>
      <w:pPr>
        <w:pStyle w:val="Heading3"/>
        <w:pStyle w:val="MdHeading3"/>
      </w:pPr>
      <w:r>
        <w:t xml:space="preserve">Featured Media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Use chart or create custom featured image: "IVF CPT Codes Guide" with Pabau branding</w:t>
      </w:r>
    </w:p>
    <w:p>
      <w:pPr>
        <w:pStyle w:val="MdSpace"/>
      </w:pPr>
    </w:p>
    <w:p>
      <w:pPr>
        <w:pStyle w:val="Heading3"/>
        <w:pStyle w:val="MdHeading3"/>
      </w:pPr>
      <w:r>
        <w:t xml:space="preserve">Author</w:t>
      </w:r>
    </w:p>
    <w:p>
      <w:pPr>
        <w:pStyle w:val="ListParagraph"/>
        <w:pStyle w:val="MdListItem"/>
        <w:numPr>
          <w:ilvl w:val="0"/>
          <w:numId w:val="1"/>
        </w:numPr>
      </w:pPr>
      <w:r>
        <w:t xml:space="preserve">Pabau (default blog author)</w:t>
      </w:r>
    </w:p>
    <w:p>
      <w:pPr>
        <w:pStyle w:val="MdSpace"/>
      </w:pPr>
    </w:p>
    <w:p>
      <w:pPr>
        <w:pStyle w:val="Heading3"/>
        <w:pStyle w:val="MdHeading3"/>
      </w:pPr>
      <w:r>
        <w:t xml:space="preserve">Publish Status</w:t>
      </w:r>
    </w:p>
    <w:p>
      <w:pPr>
        <w:pStyle w:val="ListParagraph"/>
        <w:pStyle w:val="MdListItem"/>
        <w:numPr>
          <w:ilvl w:val="0"/>
          <w:numId w:val="1"/>
        </w:numPr>
      </w:pPr>
      <w:r>
        <w:rPr>
          <w:rStyle w:val="MdStrong"/>
          <w:b/>
          <w:bCs/>
        </w:rPr>
        <w:t xml:space="preserve">Draft</w:t>
      </w:r>
      <w:r>
        <w:t xml:space="preserve"> (for review before publishing)</w:t>
      </w:r>
    </w:p>
    <w:p>
      <w:pPr>
        <w:pStyle w:val="MdSpace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</w:pPr>
    </w:p>
    <w:p>
      <w:pPr>
        <w:pStyle w:val="Heading2"/>
        <w:pStyle w:val="MdHeading2"/>
      </w:pPr>
      <w:r>
        <w:t xml:space="preserve">11. Meta Data</w:t>
      </w:r>
    </w:p>
    <w:p>
      <w:pPr>
        <w:pStyle w:val="Heading3"/>
        <w:pStyle w:val="MdHeading3"/>
      </w:pPr>
      <w:r>
        <w:t xml:space="preserve">Post Title (Full Article Title)</w:t>
      </w:r>
    </w:p>
    <w:p>
      <w:pPr>
        <w:pStyle w:val="MdParagraph"/>
      </w:pPr>
      <w:r>
        <w:rPr>
          <w:rStyle w:val="MdStrong"/>
          <w:b/>
          <w:bCs/>
        </w:rPr>
        <w:t xml:space="preserve">"IVF CPT Codes: The Complete Guide for Fertility Clinics"</w:t>
      </w:r>
    </w:p>
    <w:p>
      <w:pPr>
        <w:pStyle w:val="MdSpace"/>
      </w:pPr>
    </w:p>
    <w:p>
      <w:pPr>
        <w:pStyle w:val="Heading3"/>
        <w:pStyle w:val="MdHeading3"/>
      </w:pPr>
      <w:r>
        <w:t xml:space="preserve">Meta Title (SEO Title, 50-60 chars)</w:t>
      </w:r>
    </w:p>
    <w:p>
      <w:pPr>
        <w:pStyle w:val="MdParagraph"/>
      </w:pPr>
      <w:r>
        <w:rPr>
          <w:rStyle w:val="MdStrong"/>
          <w:b/>
          <w:bCs/>
        </w:rPr>
        <w:t xml:space="preserve">"IVF CPT Codes: Complete Guide for Fertility Clinics"</w:t>
      </w:r>
      <w:r>
        <w:t xml:space="preserve"> (56 characters)</w:t>
      </w:r>
    </w:p>
    <w:p>
      <w:pPr>
        <w:pStyle w:val="MdSpace"/>
      </w:pPr>
    </w:p>
    <w:p>
      <w:pPr>
        <w:pStyle w:val="Heading3"/>
        <w:pStyle w:val="MdHeading3"/>
      </w:pPr>
      <w:r>
        <w:t xml:space="preserve">Meta Description (≤160 chars, exact keyword match)</w:t>
      </w:r>
    </w:p>
    <w:p>
      <w:pPr>
        <w:pStyle w:val="MdParagraph"/>
      </w:pPr>
      <w:r>
        <w:rPr>
          <w:rStyle w:val="MdStrong"/>
          <w:b/>
          <w:bCs/>
        </w:rPr>
        <w:t xml:space="preserve">"Master IVF CPT codes with our complete guide. Includes top 25 codes, billing tips, insurance verification, and free downloadable worksheet for fertility clinics."</w:t>
      </w:r>
      <w:r>
        <w:t xml:space="preserve"> (158 characters)</w:t>
      </w:r>
    </w:p>
    <w:p>
      <w:pPr>
        <w:pStyle w:val="MdSpace"/>
      </w:pPr>
    </w:p>
    <w:p>
      <w:pPr>
        <w:pStyle w:val="Heading3"/>
        <w:pStyle w:val="MdHeading3"/>
      </w:pPr>
      <w:r>
        <w:t xml:space="preserve">Suggested Slug</w:t>
      </w:r>
    </w:p>
    <w:p>
      <w:pPr>
        <w:pStyle w:val="MdParagraph"/>
      </w:pPr>
      <w:r>
        <w:rPr>
          <w:rStyle w:val="MdCode"/>
          <w:b/>
          <w:bCs/>
          <w:u w:val="single"/>
        </w:rPr>
        <w:t xml:space="preserve">ivf-cpt-codes</w:t>
      </w:r>
    </w:p>
    <w:p>
      <w:pPr>
        <w:pStyle w:val="MdSpace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</w:pPr>
    </w:p>
    <w:p>
      <w:pPr>
        <w:pStyle w:val="Heading2"/>
        <w:pStyle w:val="MdHeading2"/>
      </w:pPr>
      <w:r>
        <w:t xml:space="preserve">12. Post-Publication Checklist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Verify all internal links are working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Test downloadable worksheet PDF link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Confirm chart image displays correctly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Check mobile formatting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Submit to Google Search Console for indexing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Share on Pabau social channels (if applicable)</w:t>
      </w:r>
    </w:p>
    <w:p>
      <w:pPr>
        <w:pStyle w:val="ListParagraph"/>
        <w:pStyle w:val="MdListItem"/>
        <w:numPr>
          <w:ilvl w:val="0"/>
          <w:numId w:val="1"/>
        </w:numPr>
      </w:pPr>
      <w:sdt>
        <w:sdtPr>
          <w14:checkbox>
            <w14:checked w14:val="0"/>
            <w14:checkedState w14:val="2611" w14:font="MS Gothic"/>
            <w14:uncheckedState w14:val="2610" w14:font="MS Gothic"/>
          </w14:checkbox>
        </w:sdtPr>
        <w:sdtContent>
          <w:r>
            <w:sym w:char="2610" w:font="MS Gothic"/>
          </w:r>
        </w:sdtContent>
      </w:sdt>
      <w:r>
        <w:t xml:space="preserve">Monitor search rankings for "IVF CPT codes" and secondary keywords</w:t>
      </w:r>
    </w:p>
    <w:p>
      <w:pPr>
        <w:pStyle w:val="MdSpace"/>
      </w:pPr>
    </w:p>
    <w:p>
      <w:pPr>
        <w:pStyle w:val="MdHr"/>
        <w:pBdr>
          <w:bottom w:val="single" w:color="auto" w:sz="6" w:space="1"/>
        </w:pBdr>
      </w:pPr>
    </w:p>
    <w:p>
      <w:pPr>
        <w:pStyle w:val="MdSpace"/>
      </w:pPr>
    </w:p>
    <w:p>
      <w:pPr>
        <w:pStyle w:val="MdParagraph"/>
      </w:pPr>
      <w:r>
        <w:rPr>
          <w:rStyle w:val="MdStrong"/>
          <w:b/>
          <w:bCs/>
        </w:rPr>
        <w:t xml:space="preserve">Brief prepared by:</w:t>
      </w:r>
      <w:r>
        <w:t xml:space="preserve"> Pabau Content Team</w:t>
      </w:r>
      <w:r>
        <w:rPr>
          <w:rStyle w:val="MdBr"/>
        </w:rPr>
        <w:br/>
        <w:t xml:space="preserve"/>
      </w:r>
      <w:r>
        <w:rPr>
          <w:rStyle w:val="MdStrong"/>
          <w:b/>
          <w:bCs/>
        </w:rPr>
        <w:t xml:space="preserve">Approved for writing:</w:t>
      </w:r>
      <w:r>
        <w:t xml:space="preserve"> [Pending]</w:t>
      </w:r>
      <w:r>
        <w:rPr>
          <w:rStyle w:val="MdBr"/>
        </w:rPr>
        <w:br/>
        <w:t xml:space="preserve"/>
      </w:r>
      <w:r>
        <w:rPr>
          <w:rStyle w:val="MdStrong"/>
          <w:b/>
          <w:bCs/>
        </w:rPr>
        <w:t xml:space="preserve">Target publish date:</w:t>
      </w:r>
      <w:r>
        <w:t xml:space="preserve"> Q1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"/>
      <w:lvlJc w:val="start"/>
    </w:lvl>
    <w:lvl w:ilvl="1" w15:tentative="1">
      <w:start w:val="1"/>
      <w:numFmt w:val="decimal"/>
      <w:lvlText w:val="%1.%2"/>
      <w:lvlJc w:val="start"/>
    </w:lvl>
    <w:lvl w:ilvl="2" w15:tentative="1">
      <w:start w:val="1"/>
      <w:numFmt w:val="decimal"/>
      <w:lvlText w:val="%1.%2.%3"/>
      <w:lvlJc w:val="start"/>
    </w:lvl>
    <w:lvl w:ilvl="3" w15:tentative="1">
      <w:start w:val="1"/>
      <w:numFmt w:val="decimal"/>
      <w:lvlText w:val="%4)"/>
      <w:lvlJc w:val="start"/>
    </w:lvl>
    <w:lvl w:ilvl="4" w15:tentative="1">
      <w:start w:val="1"/>
      <w:numFmt w:val="decimal"/>
      <w:lvlText w:val="%5)"/>
      <w:lvlJc w:val="start"/>
    </w:lvl>
    <w:lvl w:ilvl="5" w15:tentative="1">
      <w:start w:val="1"/>
      <w:numFmt w:val="decimal"/>
      <w:lvlText w:val="%6)"/>
      <w:lvlJc w:val="start"/>
    </w:lvl>
    <w:lvl w:ilvl="6" w15:tentative="1">
      <w:start w:val="1"/>
      <w:numFmt w:val="decimal"/>
      <w:lvlText w:val="%7)"/>
      <w:lvlJc w:val="start"/>
    </w:lvl>
    <w:lvl w:ilvl="7" w15:tentative="1">
      <w:start w:val="1"/>
      <w:numFmt w:val="decimal"/>
      <w:lvlText w:val="%8)"/>
      <w:lvlJc w:val="start"/>
    </w:lvl>
    <w:lvl w:ilvl="8" w15:tentative="1">
      <w:start w:val="1"/>
      <w:numFmt w:val="decimal"/>
      <w:lvlText w:val="%9)"/>
      <w:lvlJc w:val="start"/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</w:lvl>
    <w:lvl w:ilvl="1" w15:tentative="1">
      <w:start w:val="1"/>
      <w:numFmt w:val="bullet"/>
      <w:lvlText w:val="■"/>
      <w:lvlJc w:val="start"/>
    </w:lvl>
    <w:lvl w:ilvl="2" w15:tentative="1">
      <w:start w:val="1"/>
      <w:numFmt w:val="bullet"/>
      <w:lvlText w:val="▶"/>
      <w:lvlJc w:val="start"/>
    </w:lvl>
    <w:lvl w:ilvl="3" w15:tentative="1">
      <w:start w:val="1"/>
      <w:numFmt w:val="bullet"/>
      <w:lvlText w:val="▲"/>
      <w:lvlJc w:val="start"/>
    </w:lvl>
    <w:lvl w:ilvl="4" w15:tentative="1">
      <w:start w:val="1"/>
      <w:numFmt w:val="bullet"/>
      <w:lvlText w:val="◆"/>
      <w:lvlJc w:val="start"/>
    </w:lvl>
    <w:lvl w:ilvl="5" w15:tentative="1">
      <w:start w:val="1"/>
      <w:numFmt w:val="bullet"/>
      <w:lvlText w:val="●"/>
      <w:lvlJc w:val="start"/>
    </w:lvl>
    <w:lvl w:ilvl="6" w15:tentative="1">
      <w:start w:val="1"/>
      <w:numFmt w:val="bullet"/>
      <w:lvlText w:val="□"/>
      <w:lvlJc w:val="star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</w:rPr>
    </w:rPrDefault>
    <w:pPrDefault>
      <w:pPr>
        <w:spacing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keepNext/>
      <w:spacing w:before="480" w:after="240"/>
      <w:outlineLvl w:val="0"/>
    </w:pPr>
    <w:rPr>
      <w:b/>
      <w:bCs/>
      <w:color w:val="2F5597"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spacing w:before="400" w:after="200"/>
      <w:outlineLvl w:val="1"/>
    </w:pPr>
    <w:rPr>
      <w:b/>
      <w:bCs/>
      <w:color w:val="5B9BD5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spacing w:before="320" w:after="160"/>
      <w:outlineLvl w:val="2"/>
    </w:pPr>
    <w:rPr>
      <w:b/>
      <w:bCs/>
      <w:color w:val="44546A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spacing w:before="280" w:after="140"/>
      <w:outlineLvl w:val="3"/>
    </w:pPr>
    <w:rPr>
      <w:b/>
      <w:bCs/>
      <w:color w:val="44546A"/>
      <w:sz w:val="26"/>
      <w:szCs w:val="26"/>
    </w:rPr>
  </w:style>
  <w:style w:type="paragraph" w:styleId="Heading5">
    <w:name w:val="Heading 5"/>
    <w:basedOn w:val="Normal"/>
    <w:next w:val="Normal"/>
    <w:qFormat/>
    <w:pPr>
      <w:keepNext/>
      <w:spacing w:before="240" w:after="120"/>
      <w:outlineLvl w:val="4"/>
    </w:pPr>
    <w:rPr>
      <w:b/>
      <w:bCs/>
      <w:i/>
      <w:iCs/>
      <w:color w:val="44546A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spacing w:before="240" w:after="120"/>
      <w:outlineLvl w:val="5"/>
    </w:pPr>
    <w:rPr>
      <w:b w:val="false"/>
      <w:bCs w:val="false"/>
      <w:i/>
      <w:iCs/>
      <w:color w:val="44546A"/>
      <w:sz w:val="24"/>
      <w:szCs w:val="24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MdSpace">
    <w:name w:val="MdSpace"/>
    <w:basedOn w:val="Normal"/>
    <w:next w:val="Normal"/>
    <w:qFormat/>
    <w:pPr>
      <w:spacing w:before="0" w:after="0"/>
    </w:pPr>
    <w:rPr>
      <w:sz w:val="12"/>
      <w:szCs w:val="12"/>
    </w:rPr>
  </w:style>
  <w:style w:type="paragraph" w:styleId="MdCode">
    <w:name w:val="MdCode"/>
    <w:basedOn w:val="Normal"/>
    <w:next w:val="Normal"/>
    <w:qFormat/>
    <w:pPr>
      <w:pBdr>
        <w:top w:val="single" w:color="A5A5A5" w:sz="1" w:space="8"/>
        <w:bottom w:val="single" w:color="A5A5A5" w:sz="1" w:space="8"/>
        <w:left w:val="single" w:color="A5A5A5" w:sz="1" w:space="8"/>
        <w:right w:val="single" w:color="A5A5A5" w:sz="1" w:space="8"/>
      </w:pBdr>
      <w:shd w:fill="f6f6f7"/>
      <w:spacing w:before="200" w:after="200"/>
    </w:pPr>
    <w:rPr>
      <w:rFonts w:ascii="Courier New" w:cs="Courier New" w:eastAsia="Courier New" w:hAnsi="Courier New"/>
      <w:color w:val="032F62"/>
      <w:sz w:val="22"/>
      <w:szCs w:val="22"/>
    </w:rPr>
  </w:style>
  <w:style w:type="paragraph" w:styleId="MdHr">
    <w:name w:val="MdHr"/>
    <w:basedOn w:val="Normal"/>
    <w:next w:val="Normal"/>
    <w:qFormat/>
    <w:pPr>
      <w:pBdr>
        <w:bottom w:val="single" w:color="D9D9D9" w:sz="1" w:space="1"/>
      </w:pBdr>
      <w:spacing w:before="240" w:after="240"/>
    </w:pPr>
  </w:style>
  <w:style w:type="paragraph" w:styleId="MdBlockquote">
    <w:name w:val="MdBlockquote"/>
    <w:basedOn w:val="Normal"/>
    <w:next w:val="Normal"/>
    <w:qFormat/>
    <w:pPr>
      <w:pBdr>
        <w:left w:val="single" w:color="666666" w:sz="20" w:space="12"/>
      </w:pBdr>
      <w:shd w:fill="F9F9F9"/>
      <w:spacing w:before="200" w:after="200"/>
      <w:ind w:left="360"/>
    </w:pPr>
    <w:rPr>
      <w:i/>
      <w:iCs/>
      <w:color w:val="666666"/>
    </w:rPr>
  </w:style>
  <w:style w:type="paragraph" w:styleId="MdHtml">
    <w:name w:val="MdHtml"/>
    <w:basedOn w:val="Normal"/>
    <w:next w:val="Normal"/>
    <w:qFormat/>
    <w:rPr>
      <w:rFonts w:ascii="Courier New" w:cs="Courier New" w:eastAsia="Courier New" w:hAnsi="Courier New"/>
      <w:color w:val="4472C4"/>
    </w:rPr>
  </w:style>
  <w:style w:type="paragraph" w:styleId="MdDef">
    <w:name w:val="MdDef"/>
    <w:basedOn w:val="Normal"/>
    <w:next w:val="Normal"/>
    <w:qFormat/>
    <w:pPr>
      <w:ind w:left="720" w:hanging="360"/>
    </w:pPr>
  </w:style>
  <w:style w:type="paragraph" w:styleId="MdParagraph">
    <w:name w:val="MdParagraph"/>
    <w:basedOn w:val="Normal"/>
    <w:next w:val="Normal"/>
    <w:qFormat/>
    <w:pPr>
      <w:spacing w:before="120" w:after="120"/>
    </w:pPr>
  </w:style>
  <w:style w:type="paragraph" w:styleId="MdText">
    <w:name w:val="MdText"/>
    <w:basedOn w:val="Normal"/>
    <w:next w:val="Normal"/>
    <w:qFormat/>
  </w:style>
  <w:style w:type="paragraph" w:styleId="MdFootnote">
    <w:name w:val="MdFootnote"/>
    <w:basedOn w:val="Normal"/>
    <w:next w:val="Normal"/>
    <w:qFormat/>
    <w:rPr>
      <w:vertAlign w:val="superscript"/>
    </w:rPr>
  </w:style>
  <w:style w:type="paragraph" w:styleId="MdListItem">
    <w:name w:val="MdListItem"/>
    <w:basedOn w:val="Normal"/>
    <w:next w:val="Normal"/>
    <w:qFormat/>
    <w:pPr>
      <w:spacing w:before="60" w:after="60"/>
      <w:ind w:left="720" w:hanging="360"/>
    </w:pPr>
  </w:style>
  <w:style w:type="paragraph" w:styleId="MdTable">
    <w:name w:val="MdTable"/>
    <w:basedOn w:val="Normal"/>
    <w:next w:val="Normal"/>
    <w:qFormat/>
    <w:pPr>
      <w:spacing w:before="60" w:after="60"/>
    </w:pPr>
  </w:style>
  <w:style w:type="paragraph" w:styleId="MdTableHeader">
    <w:name w:val="MdTableHeader"/>
    <w:basedOn w:val="Normal"/>
    <w:next w:val="Normal"/>
    <w:qFormat/>
    <w:rPr>
      <w:b/>
      <w:bCs/>
    </w:rPr>
  </w:style>
  <w:style w:type="paragraph" w:styleId="MdTableCell">
    <w:name w:val="MdTableCell"/>
    <w:basedOn w:val="Normal"/>
    <w:next w:val="Normal"/>
    <w:qFormat/>
  </w:style>
  <w:style w:type="paragraph" w:styleId="MdHeading1">
    <w:name w:val="MdHeading1"/>
    <w:basedOn w:val="Normal"/>
    <w:next w:val="Normal"/>
    <w:qFormat/>
    <w:pPr>
      <w:keepNext/>
      <w:spacing w:before="480" w:after="240"/>
      <w:outlineLvl w:val="0"/>
    </w:pPr>
    <w:rPr>
      <w:b/>
      <w:bCs/>
      <w:color w:val="2F5597"/>
      <w:sz w:val="36"/>
      <w:szCs w:val="36"/>
    </w:rPr>
  </w:style>
  <w:style w:type="paragraph" w:styleId="MdHeading2">
    <w:name w:val="MdHeading2"/>
    <w:basedOn w:val="Normal"/>
    <w:next w:val="Normal"/>
    <w:qFormat/>
    <w:pPr>
      <w:keepNext/>
      <w:spacing w:before="400" w:after="200"/>
      <w:outlineLvl w:val="1"/>
    </w:pPr>
    <w:rPr>
      <w:b/>
      <w:bCs/>
      <w:color w:val="5B9BD5"/>
      <w:sz w:val="32"/>
      <w:szCs w:val="32"/>
    </w:rPr>
  </w:style>
  <w:style w:type="paragraph" w:styleId="MdHeading3">
    <w:name w:val="MdHeading3"/>
    <w:basedOn w:val="Normal"/>
    <w:next w:val="Normal"/>
    <w:qFormat/>
    <w:pPr>
      <w:keepNext/>
      <w:spacing w:before="320" w:after="160"/>
      <w:outlineLvl w:val="2"/>
    </w:pPr>
    <w:rPr>
      <w:b/>
      <w:bCs/>
      <w:color w:val="44546A"/>
      <w:sz w:val="28"/>
      <w:szCs w:val="28"/>
    </w:rPr>
  </w:style>
  <w:style w:type="paragraph" w:styleId="MdHeading4">
    <w:name w:val="MdHeading4"/>
    <w:basedOn w:val="Normal"/>
    <w:next w:val="Normal"/>
    <w:qFormat/>
    <w:pPr>
      <w:keepNext/>
      <w:spacing w:before="280" w:after="140"/>
      <w:outlineLvl w:val="3"/>
    </w:pPr>
    <w:rPr>
      <w:b/>
      <w:bCs/>
      <w:color w:val="44546A"/>
      <w:sz w:val="26"/>
      <w:szCs w:val="26"/>
    </w:rPr>
  </w:style>
  <w:style w:type="paragraph" w:styleId="MdHeading5">
    <w:name w:val="MdHeading5"/>
    <w:basedOn w:val="Normal"/>
    <w:next w:val="Normal"/>
    <w:qFormat/>
    <w:pPr>
      <w:keepNext/>
      <w:spacing w:before="240" w:after="120"/>
      <w:outlineLvl w:val="4"/>
    </w:pPr>
    <w:rPr>
      <w:b/>
      <w:bCs/>
      <w:i/>
      <w:iCs/>
      <w:color w:val="44546A"/>
      <w:sz w:val="24"/>
      <w:szCs w:val="24"/>
    </w:rPr>
  </w:style>
  <w:style w:type="paragraph" w:styleId="MdHeading6">
    <w:name w:val="MdHeading6"/>
    <w:basedOn w:val="Normal"/>
    <w:next w:val="Normal"/>
    <w:qFormat/>
    <w:pPr>
      <w:keepNext/>
      <w:spacing w:before="240" w:after="120"/>
      <w:outlineLvl w:val="5"/>
    </w:pPr>
    <w:rPr>
      <w:b w:val="false"/>
      <w:bCs w:val="false"/>
      <w:i/>
      <w:iCs/>
      <w:color w:val="44546A"/>
      <w:sz w:val="24"/>
      <w:szCs w:val="24"/>
    </w:rPr>
  </w:style>
  <w:style w:type="character" w:styleId="MdTag">
    <w:name w:val="MdTag"/>
    <w:basedOn w:val="Normal"/>
    <w:next w:val="Normal"/>
    <w:uiPriority w:val="99"/>
    <w:unhideWhenUsed/>
    <w:qFormat/>
    <w:rPr>
      <w:rFonts w:ascii="Courier New" w:cs="Courier New" w:eastAsia="Courier New" w:hAnsi="Courier New"/>
      <w:color w:val="ED7D31"/>
    </w:rPr>
  </w:style>
  <w:style w:type="character" w:styleId="MdLink">
    <w:name w:val="MdLink"/>
    <w:basedOn w:val="Normal"/>
    <w:next w:val="Normal"/>
    <w:uiPriority w:val="99"/>
    <w:unhideWhenUsed/>
    <w:qFormat/>
    <w:rPr>
      <w:color w:val="0563C1"/>
      <w:u w:val="single"/>
    </w:rPr>
  </w:style>
  <w:style w:type="character" w:styleId="MdStrong">
    <w:name w:val="MdStrong"/>
    <w:basedOn w:val="Normal"/>
    <w:next w:val="Normal"/>
    <w:uiPriority w:val="99"/>
    <w:unhideWhenUsed/>
    <w:qFormat/>
    <w:rPr>
      <w:b/>
      <w:bCs/>
    </w:rPr>
  </w:style>
  <w:style w:type="character" w:styleId="MdEm">
    <w:name w:val="MdEm"/>
    <w:basedOn w:val="Normal"/>
    <w:next w:val="Normal"/>
    <w:uiPriority w:val="99"/>
    <w:unhideWhenUsed/>
    <w:qFormat/>
    <w:rPr>
      <w:i/>
      <w:iCs/>
    </w:rPr>
  </w:style>
  <w:style w:type="character" w:styleId="MdCodespan">
    <w:name w:val="MdCodespan"/>
    <w:basedOn w:val="Normal"/>
    <w:next w:val="Normal"/>
    <w:uiPriority w:val="99"/>
    <w:unhideWhenUsed/>
    <w:qFormat/>
    <w:rPr>
      <w:rFonts w:ascii="Courier New" w:cs="Courier New" w:eastAsia="Courier New" w:hAnsi="Courier New"/>
      <w:color w:val="70AD47"/>
    </w:rPr>
  </w:style>
  <w:style w:type="character" w:styleId="MdDel">
    <w:name w:val="MdDel"/>
    <w:basedOn w:val="Normal"/>
    <w:next w:val="Normal"/>
    <w:uiPriority w:val="99"/>
    <w:unhideWhenUsed/>
    <w:qFormat/>
    <w:rPr>
      <w:strike/>
      <w:color w:val="FF0000"/>
    </w:rPr>
  </w:style>
  <w:style w:type="character" w:styleId="MdBr">
    <w:name w:val="MdBr"/>
    <w:basedOn w:val="Normal"/>
    <w:next w:val="Normal"/>
    <w:uiPriority w:val="99"/>
    <w:unhideWhenUsed/>
    <w:qFormat/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dpqj9r4ctqw5fkl8jgmcz" Type="http://schemas.openxmlformats.org/officeDocument/2006/relationships/hyperlink" Target="https://pabau.com/wp-content/uploads/2026/02/ivf-cpt-worksheet.pdf" TargetMode="External"/><Relationship Id="rIdzwjfmkjkwzbxi7rzlgg4z" Type="http://schemas.openxmlformats.org/officeDocument/2006/relationships/hyperlink" Target="https://pabau.com/wp-content/uploads/2026/02/ivf-costs-chart.png" TargetMode="External"/><Relationship Id="rIdj75_o5xgbjjcbn7fnku0c" Type="http://schemas.openxmlformats.org/officeDocument/2006/relationships/hyperlink" Target="https://pabau.com/hipaa-compliance/" TargetMode="External"/><Relationship Id="rIdawpajkvhynxe_sl2ykzo-" Type="http://schemas.openxmlformats.org/officeDocument/2006/relationships/hyperlink" Target="https://pabau.com/features/claims-management-software/" TargetMode="External"/><Relationship Id="rIdhrmxpsllwsdg8oduqnapd" Type="http://schemas.openxmlformats.org/officeDocument/2006/relationships/hyperlink" Target="https://pabau.com/industry/fertility-clinic-software/" TargetMode="External"/><Relationship Id="rIdhkvdcar4fned870k2kshg" Type="http://schemas.openxmlformats.org/officeDocument/2006/relationships/hyperlink" Target="https://pabau.com/features/medical-records/" TargetMode="External"/><Relationship Id="rId12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2026-02-09T15:47:58.079Z</dcterms:created>
  <dcterms:modified xsi:type="dcterms:W3CDTF">2026-02-09T15:47:58.079Z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